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8" w:val="single"/>
          <w:insideV w:color="000000" w:space="0" w:sz="0" w:val="nil"/>
        </w:tblBorders>
        <w:tblLayout w:type="fixed"/>
        <w:tblLook w:val="0400"/>
      </w:tblPr>
      <w:tblGrid>
        <w:gridCol w:w="2552"/>
        <w:gridCol w:w="6804"/>
        <w:tblGridChange w:id="0">
          <w:tblGrid>
            <w:gridCol w:w="2552"/>
            <w:gridCol w:w="6804"/>
          </w:tblGrid>
        </w:tblGridChange>
      </w:tblGrid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1.4 Good Practices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KEYWORDS (META TAG)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Good practices, Blended learning, Collaborative teaching, EPALE, Maastricht, eTwinning, tools, technologies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LANGUAGE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OBJECTIVES / GOALS / LEARNING 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Objectives: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1. To define and understand the different blended learning models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 To select the most appropriate blended learning model for a specific case, considering the needs of the learners, the resources available and the learning objectives.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3. To use digital tools and platforms to facilitate communication, collaboration and individualized learning.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4. To identify best practices for blended learning: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5. To understand the importance of planning and organization in blended learning.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Learning Outcomes: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By the end of this unit, students will be able to:</w:t>
            </w:r>
          </w:p>
          <w:p w:rsidR="00000000" w:rsidDel="00000000" w:rsidP="00000000" w:rsidRDefault="00000000" w:rsidRPr="00000000" w14:paraId="00000012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1. Communicate and collaborate effectively in a blended learning environment, both in the classroom and online.</w:t>
            </w:r>
          </w:p>
          <w:p w:rsidR="00000000" w:rsidDel="00000000" w:rsidP="00000000" w:rsidRDefault="00000000" w:rsidRPr="00000000" w14:paraId="00000013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2. Use digital tools to create and share educational resources.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3. Assess their own learning and set goals for their personal development.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4. Give examples about current blended learning methods and good practices.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CONTENTS IN BRIEF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Good Practices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Blended Learning Practices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Examples of Good Practices in Blended Learning Models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Useful Tools and Technologies for Collaborative Teaching 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GLOSSARY ENTRIES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LMS: A learning management system (LMS is a software application for the administration, documentation, tracking, reporting, automation, and delivery of educational courses, training programs, materials or learning and development programs.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BIBLIOGRAPHY AND FURTHER REFERENCES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Blended Learning Universe. "Models." Blended Learning Universe,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https://www.blendedlearning.org/models/</w:t>
              </w:r>
            </w:hyperlink>
            <w:r w:rsidDel="00000000" w:rsidR="00000000" w:rsidRPr="00000000">
              <w:rPr>
                <w:rtl w:val="0"/>
              </w:rPr>
              <w:t xml:space="preserve">. Accessed 11 Mar. 2024.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Educations.es. "Maastricht University." Educations.es,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https://www.educations.es/institutions/maastricht-university</w:t>
              </w:r>
            </w:hyperlink>
            <w:r w:rsidDel="00000000" w:rsidR="00000000" w:rsidRPr="00000000">
              <w:rPr>
                <w:rtl w:val="0"/>
              </w:rPr>
              <w:t xml:space="preserve">. Accessed 11 Mar. 2024 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"eTwinning - The European platform for schools."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https://etwinning.es/es/</w:t>
              </w:r>
            </w:hyperlink>
            <w:r w:rsidDel="00000000" w:rsidR="00000000" w:rsidRPr="00000000">
              <w:rPr>
                <w:rtl w:val="0"/>
              </w:rPr>
              <w:t xml:space="preserve">. Accessed 11 Mar. 2024 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European Commission. "EPALE - Electronic Platform for Adult Learning in Europe."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https://epale.ec.europa.eu/es</w:t>
              </w:r>
            </w:hyperlink>
            <w:r w:rsidDel="00000000" w:rsidR="00000000" w:rsidRPr="00000000">
              <w:rPr>
                <w:rtl w:val="0"/>
              </w:rPr>
              <w:t xml:space="preserve">. Accessed 11 Mar. 2024.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Hurix. "What Are the Blended Learning Best Practices?" Hurix,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https://www.hurix.com/what-are-the-blended-learning-best-practices/</w:t>
              </w:r>
            </w:hyperlink>
            <w:r w:rsidDel="00000000" w:rsidR="00000000" w:rsidRPr="00000000">
              <w:rPr>
                <w:rtl w:val="0"/>
              </w:rPr>
              <w:t xml:space="preserve">. Accessed 11 Mar. 2024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Joe. "Blended Learning Models: How to Implement Effective Strategies." Medium, joe012745, 22 Aug. 2022,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https://medium.com/@joe012745/blended-learning-models-how-to-implement-effective-strategies-68f35b3e5799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Maastricht University.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https://www.maastrichtuniversity.nl/</w:t>
              </w:r>
            </w:hyperlink>
            <w:r w:rsidDel="00000000" w:rsidR="00000000" w:rsidRPr="00000000">
              <w:rPr>
                <w:rtl w:val="0"/>
              </w:rPr>
              <w:t xml:space="preserve">. Accessed 11 Mar. 2024 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McGee, P. &amp; Reis, A. (2012). Blended Course Design: A Synthesis of Best Practices. Journal of Asynchronous Learning Networks, 16(4), 7-22.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Richardson, Phil. "The Best Practices for Blended Learning: Maximizing Online and In-Person Education in 2024." Medium, philrichardsonmail, 14 Feb. 2024,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https://medium.com/@philrichardsonmail/the-best-practices-for-blended-learning-maximizing-online-and-in-person-education-in-2024-6ef3157c3b0b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MATERIAL AND REFERENCE LINK (I.E. YOUTUBE VIDEOS)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top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1. CollaboratiVET-Module 1_Unit 4.pptx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8" w:w="11906" w:orient="portrait"/>
      <w:pgMar w:bottom="1134" w:top="255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b="0" l="0" r="0" t="0"/>
          <wp:wrapNone/>
          <wp:docPr id="144809449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2174240</wp:posOffset>
          </wp:positionH>
          <wp:positionV relativeFrom="paragraph">
            <wp:posOffset>-84454</wp:posOffset>
          </wp:positionV>
          <wp:extent cx="1771650" cy="853440"/>
          <wp:effectExtent b="0" l="0" r="0" t="0"/>
          <wp:wrapNone/>
          <wp:docPr id="144809449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29461" l="0" r="0" t="22366"/>
                  <a:stretch>
                    <a:fillRect/>
                  </a:stretch>
                </pic:blipFill>
                <pic:spPr>
                  <a:xfrm>
                    <a:off x="0" y="0"/>
                    <a:ext cx="1771650" cy="853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EC7"/>
    <w:pPr>
      <w:spacing w:after="200" w:line="276" w:lineRule="auto"/>
    </w:pPr>
    <w:rPr>
      <w:lang w:val="es-E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F32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F3289"/>
    <w:rPr>
      <w:rFonts w:ascii="Tahoma" w:cs="Tahoma" w:hAnsi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 w:val="1"/>
    <w:rsid w:val="009F2BFE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21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5212EE"/>
    <w:rPr>
      <w:color w:val="605e5c"/>
      <w:shd w:color="auto" w:fill="e1dfdd" w:val="clear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Spacing">
    <w:name w:val="No Spacing"/>
    <w:uiPriority w:val="1"/>
    <w:qFormat w:val="1"/>
    <w:rsid w:val="003B3A3E"/>
    <w:pPr>
      <w:spacing w:after="0" w:line="240" w:lineRule="auto"/>
    </w:pPr>
    <w:rPr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hurix.com/what-are-the-blended-learning-best-practices/" TargetMode="External"/><Relationship Id="rId10" Type="http://schemas.openxmlformats.org/officeDocument/2006/relationships/hyperlink" Target="https://epale.ec.europa.eu/es" TargetMode="External"/><Relationship Id="rId13" Type="http://schemas.openxmlformats.org/officeDocument/2006/relationships/hyperlink" Target="https://www.maastrichtuniversity.nl/" TargetMode="External"/><Relationship Id="rId12" Type="http://schemas.openxmlformats.org/officeDocument/2006/relationships/hyperlink" Target="https://medium.com/@joe012745/blended-learning-models-how-to-implement-effective-strategies-68f35b3e579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twinning.es/es/" TargetMode="External"/><Relationship Id="rId15" Type="http://schemas.openxmlformats.org/officeDocument/2006/relationships/hyperlink" Target="https://docs.google.com/presentation/d/1OLJc4N3JPxY6vAyGDe6cYEyKiZJJ99A4/edit#slide=id.g2c195b35e42_0_0" TargetMode="External"/><Relationship Id="rId14" Type="http://schemas.openxmlformats.org/officeDocument/2006/relationships/hyperlink" Target="https://medium.com/@philrichardsonmail/the-best-practices-for-blended-learning-maximizing-online-and-in-person-education-in-2024-6ef3157c3b0b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blendedlearning.org/models/" TargetMode="External"/><Relationship Id="rId8" Type="http://schemas.openxmlformats.org/officeDocument/2006/relationships/hyperlink" Target="https://www.educations.es/institutions/maastricht-university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sM98ynGDwPYwTB00SWEMgUIa7w==">CgMxLjA4AHIhMW5KanczR0pwOGdtczF4TXNLalE1Rk9mN1psUk4tb0Fv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2023-12-20T16:08:00Z</dcterms:created>
  <dc:creator>riccardo di marco</dc:creator>
</cp:coreProperties>
</file>