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tbl>
      <w:tblPr>
        <w:tblStyle w:val="Table1"/>
        <w:tblW w:w="9356.0" w:type="dxa"/>
        <w:jc w:val="center"/>
        <w:tblBorders>
          <w:top w:color="000000" w:space="0" w:sz="0" w:val="nil"/>
          <w:left w:color="000000" w:space="0" w:sz="0" w:val="nil"/>
          <w:bottom w:color="000000" w:space="0" w:sz="0" w:val="nil"/>
          <w:right w:color="000000" w:space="0" w:sz="0" w:val="nil"/>
          <w:insideH w:color="ffffff" w:space="0" w:sz="48" w:val="single"/>
          <w:insideV w:color="000000" w:space="0" w:sz="0" w:val="nil"/>
        </w:tblBorders>
        <w:tblLayout w:type="fixed"/>
        <w:tblLook w:val="0400"/>
      </w:tblPr>
      <w:tblGrid>
        <w:gridCol w:w="2552"/>
        <w:gridCol w:w="6804"/>
        <w:tblGridChange w:id="0">
          <w:tblGrid>
            <w:gridCol w:w="2552"/>
            <w:gridCol w:w="6804"/>
          </w:tblGrid>
        </w:tblGridChange>
      </w:tblGrid>
      <w:tr>
        <w:trPr>
          <w:cantSplit w:val="1"/>
          <w:trHeight w:val="2155" w:hRule="atLeast"/>
          <w:tblHeader w:val="0"/>
        </w:trPr>
        <w:tc>
          <w:tcPr>
            <w:tcBorders>
              <w:bottom w:color="ffffff" w:space="0" w:sz="48" w:val="single"/>
            </w:tcBorders>
            <w:shd w:fill="f4b083" w:val="clear"/>
            <w:vAlign w:val="center"/>
          </w:tcPr>
          <w:p w:rsidR="00000000" w:rsidDel="00000000" w:rsidP="00000000" w:rsidRDefault="00000000" w:rsidRPr="00000000" w14:paraId="00000002">
            <w:pPr>
              <w:jc w:val="center"/>
              <w:rPr>
                <w:sz w:val="24"/>
                <w:szCs w:val="24"/>
              </w:rPr>
            </w:pPr>
            <w:r w:rsidDel="00000000" w:rsidR="00000000" w:rsidRPr="00000000">
              <w:rPr>
                <w:color w:val="ffffff"/>
                <w:rtl w:val="0"/>
              </w:rPr>
              <w:t xml:space="preserve">TITLE</w:t>
            </w:r>
            <w:r w:rsidDel="00000000" w:rsidR="00000000" w:rsidRPr="00000000">
              <w:rPr>
                <w:rtl w:val="0"/>
              </w:rPr>
            </w:r>
          </w:p>
        </w:tc>
        <w:tc>
          <w:tcPr>
            <w:tcBorders>
              <w:top w:color="000000" w:space="0" w:sz="0" w:val="nil"/>
              <w:bottom w:color="ffffff" w:space="0" w:sz="48" w:val="single"/>
              <w:right w:color="ffffff" w:space="0" w:sz="48" w:val="single"/>
            </w:tcBorders>
            <w:shd w:fill="fbe5d5" w:val="clear"/>
            <w:vAlign w:val="center"/>
          </w:tcPr>
          <w:p w:rsidR="00000000" w:rsidDel="00000000" w:rsidP="00000000" w:rsidRDefault="00000000" w:rsidRPr="00000000" w14:paraId="00000003">
            <w:pPr>
              <w:rPr/>
            </w:pPr>
            <w:r w:rsidDel="00000000" w:rsidR="00000000" w:rsidRPr="00000000">
              <w:rPr>
                <w:rtl w:val="0"/>
              </w:rPr>
              <w:t xml:space="preserve">Pedagogical Theories Supporting Blended and Collaborative Approaches</w:t>
            </w:r>
          </w:p>
        </w:tc>
      </w:tr>
      <w:tr>
        <w:trPr>
          <w:cantSplit w:val="1"/>
          <w:trHeight w:val="2155" w:hRule="atLeast"/>
          <w:tblHeader w:val="0"/>
        </w:trPr>
        <w:tc>
          <w:tcPr>
            <w:tcBorders>
              <w:bottom w:color="ffffff" w:space="0" w:sz="48" w:val="single"/>
            </w:tcBorders>
            <w:shd w:fill="f4b083" w:val="clear"/>
            <w:vAlign w:val="center"/>
          </w:tcPr>
          <w:p w:rsidR="00000000" w:rsidDel="00000000" w:rsidP="00000000" w:rsidRDefault="00000000" w:rsidRPr="00000000" w14:paraId="00000004">
            <w:pPr>
              <w:jc w:val="center"/>
              <w:rPr>
                <w:color w:val="ffffff"/>
              </w:rPr>
            </w:pPr>
            <w:r w:rsidDel="00000000" w:rsidR="00000000" w:rsidRPr="00000000">
              <w:rPr>
                <w:rtl w:val="0"/>
              </w:rPr>
              <w:t xml:space="preserve">KEYWORDS (META TAG)</w:t>
            </w:r>
            <w:r w:rsidDel="00000000" w:rsidR="00000000" w:rsidRPr="00000000">
              <w:rPr>
                <w:rtl w:val="0"/>
              </w:rPr>
            </w:r>
          </w:p>
        </w:tc>
        <w:tc>
          <w:tcPr>
            <w:tcBorders>
              <w:top w:color="000000" w:space="0" w:sz="0" w:val="nil"/>
              <w:bottom w:color="ffffff" w:space="0" w:sz="48" w:val="single"/>
              <w:right w:color="ffffff" w:space="0" w:sz="48" w:val="single"/>
            </w:tcBorders>
            <w:shd w:fill="fbe5d5" w:val="clear"/>
            <w:vAlign w:val="center"/>
          </w:tcPr>
          <w:p w:rsidR="00000000" w:rsidDel="00000000" w:rsidP="00000000" w:rsidRDefault="00000000" w:rsidRPr="00000000" w14:paraId="00000005">
            <w:pPr>
              <w:rPr/>
            </w:pPr>
            <w:r w:rsidDel="00000000" w:rsidR="00000000" w:rsidRPr="00000000">
              <w:rPr>
                <w:rtl w:val="0"/>
              </w:rPr>
              <w:t xml:space="preserve">Blended Learning, Collaborative Teaching; pedagogical theories; CAS; CABLS; CoI; framework; approach; research; SAMR</w:t>
            </w:r>
          </w:p>
        </w:tc>
      </w:tr>
      <w:tr>
        <w:trPr>
          <w:cantSplit w:val="1"/>
          <w:trHeight w:val="2155" w:hRule="atLeast"/>
          <w:tblHeader w:val="0"/>
        </w:trPr>
        <w:tc>
          <w:tcPr>
            <w:tcBorders>
              <w:bottom w:color="ffffff" w:space="0" w:sz="48" w:val="single"/>
            </w:tcBorders>
            <w:shd w:fill="f4b083" w:val="clear"/>
            <w:vAlign w:val="center"/>
          </w:tcPr>
          <w:p w:rsidR="00000000" w:rsidDel="00000000" w:rsidP="00000000" w:rsidRDefault="00000000" w:rsidRPr="00000000" w14:paraId="00000006">
            <w:pPr>
              <w:jc w:val="center"/>
              <w:rPr>
                <w:color w:val="ffffff"/>
              </w:rPr>
            </w:pPr>
            <w:r w:rsidDel="00000000" w:rsidR="00000000" w:rsidRPr="00000000">
              <w:rPr>
                <w:rtl w:val="0"/>
              </w:rPr>
              <w:t xml:space="preserve">LANGUAGE</w:t>
            </w:r>
            <w:r w:rsidDel="00000000" w:rsidR="00000000" w:rsidRPr="00000000">
              <w:rPr>
                <w:rtl w:val="0"/>
              </w:rPr>
            </w:r>
          </w:p>
        </w:tc>
        <w:tc>
          <w:tcPr>
            <w:tcBorders>
              <w:top w:color="000000" w:space="0" w:sz="0" w:val="nil"/>
              <w:bottom w:color="ffffff" w:space="0" w:sz="48" w:val="single"/>
              <w:right w:color="ffffff" w:space="0" w:sz="48" w:val="single"/>
            </w:tcBorders>
            <w:shd w:fill="fbe5d5" w:val="clear"/>
            <w:vAlign w:val="center"/>
          </w:tcPr>
          <w:p w:rsidR="00000000" w:rsidDel="00000000" w:rsidP="00000000" w:rsidRDefault="00000000" w:rsidRPr="00000000" w14:paraId="00000007">
            <w:pPr>
              <w:rPr/>
            </w:pPr>
            <w:r w:rsidDel="00000000" w:rsidR="00000000" w:rsidRPr="00000000">
              <w:rPr>
                <w:rtl w:val="0"/>
              </w:rPr>
              <w:t xml:space="preserve">English</w:t>
            </w:r>
          </w:p>
        </w:tc>
      </w:tr>
      <w:tr>
        <w:trPr>
          <w:cantSplit w:val="1"/>
          <w:trHeight w:val="2155" w:hRule="atLeast"/>
          <w:tblHeader w:val="0"/>
        </w:trPr>
        <w:tc>
          <w:tcPr>
            <w:tcBorders>
              <w:bottom w:color="ffffff" w:space="0" w:sz="48" w:val="single"/>
            </w:tcBorders>
            <w:shd w:fill="f4b083" w:val="clear"/>
            <w:vAlign w:val="center"/>
          </w:tcPr>
          <w:p w:rsidR="00000000" w:rsidDel="00000000" w:rsidP="00000000" w:rsidRDefault="00000000" w:rsidRPr="00000000" w14:paraId="00000008">
            <w:pPr>
              <w:jc w:val="center"/>
              <w:rPr>
                <w:color w:val="ffffff"/>
              </w:rPr>
            </w:pPr>
            <w:r w:rsidDel="00000000" w:rsidR="00000000" w:rsidRPr="00000000">
              <w:rPr>
                <w:rtl w:val="0"/>
              </w:rPr>
              <w:t xml:space="preserve">OBJECTIVES / GOALS / LEARNING OUTCOMES</w:t>
            </w:r>
            <w:r w:rsidDel="00000000" w:rsidR="00000000" w:rsidRPr="00000000">
              <w:rPr>
                <w:rtl w:val="0"/>
              </w:rPr>
            </w:r>
          </w:p>
        </w:tc>
        <w:tc>
          <w:tcPr>
            <w:tcBorders>
              <w:top w:color="000000" w:space="0" w:sz="0" w:val="nil"/>
              <w:bottom w:color="ffffff" w:space="0" w:sz="48" w:val="single"/>
              <w:right w:color="ffffff" w:space="0" w:sz="48" w:val="single"/>
            </w:tcBorders>
            <w:shd w:fill="fbe5d5" w:val="clear"/>
            <w:vAlign w:val="center"/>
          </w:tcPr>
          <w:p w:rsidR="00000000" w:rsidDel="00000000" w:rsidP="00000000" w:rsidRDefault="00000000" w:rsidRPr="00000000" w14:paraId="00000009">
            <w:pPr>
              <w:rPr/>
            </w:pPr>
            <w:r w:rsidDel="00000000" w:rsidR="00000000" w:rsidRPr="00000000">
              <w:rPr>
                <w:rtl w:val="0"/>
              </w:rPr>
              <w:t xml:space="preserve">Objectives:</w:t>
            </w:r>
          </w:p>
          <w:p w:rsidR="00000000" w:rsidDel="00000000" w:rsidP="00000000" w:rsidRDefault="00000000" w:rsidRPr="00000000" w14:paraId="0000000A">
            <w:pPr>
              <w:rPr/>
            </w:pPr>
            <w:r w:rsidDel="00000000" w:rsidR="00000000" w:rsidRPr="00000000">
              <w:rPr>
                <w:rtl w:val="0"/>
              </w:rPr>
              <w:t xml:space="preserve">1. To explore and analyze various pedagogical theories that underpin Blended Learning methodologies.</w:t>
            </w:r>
          </w:p>
          <w:p w:rsidR="00000000" w:rsidDel="00000000" w:rsidP="00000000" w:rsidRDefault="00000000" w:rsidRPr="00000000" w14:paraId="0000000B">
            <w:pPr>
              <w:rPr/>
            </w:pPr>
            <w:r w:rsidDel="00000000" w:rsidR="00000000" w:rsidRPr="00000000">
              <w:rPr>
                <w:rtl w:val="0"/>
              </w:rPr>
              <w:t xml:space="preserve">2. To understand the principles and components of the Complex Adaptive Blended Learning System (CABLS).</w:t>
            </w:r>
          </w:p>
          <w:p w:rsidR="00000000" w:rsidDel="00000000" w:rsidP="00000000" w:rsidRDefault="00000000" w:rsidRPr="00000000" w14:paraId="0000000C">
            <w:pPr>
              <w:rPr/>
            </w:pPr>
            <w:r w:rsidDel="00000000" w:rsidR="00000000" w:rsidRPr="00000000">
              <w:rPr>
                <w:rtl w:val="0"/>
              </w:rPr>
              <w:t xml:space="preserve">3. To examine the application of the Community of Inquiry Framework within Blended Learning environments.</w:t>
            </w:r>
          </w:p>
          <w:p w:rsidR="00000000" w:rsidDel="00000000" w:rsidP="00000000" w:rsidRDefault="00000000" w:rsidRPr="00000000" w14:paraId="0000000D">
            <w:pPr>
              <w:rPr/>
            </w:pPr>
            <w:r w:rsidDel="00000000" w:rsidR="00000000" w:rsidRPr="00000000">
              <w:rPr>
                <w:rtl w:val="0"/>
              </w:rPr>
              <w:t xml:space="preserve">4. To comprehend the </w:t>
            </w:r>
            <w:r w:rsidDel="00000000" w:rsidR="00000000" w:rsidRPr="00000000">
              <w:rPr>
                <w:rtl w:val="0"/>
              </w:rPr>
              <w:t xml:space="preserve">SAMR</w:t>
            </w:r>
            <w:r w:rsidDel="00000000" w:rsidR="00000000" w:rsidRPr="00000000">
              <w:rPr>
                <w:rtl w:val="0"/>
              </w:rPr>
              <w:t xml:space="preserve"> model and its significance in educational technology integration.</w:t>
            </w:r>
          </w:p>
          <w:p w:rsidR="00000000" w:rsidDel="00000000" w:rsidP="00000000" w:rsidRDefault="00000000" w:rsidRPr="00000000" w14:paraId="0000000E">
            <w:pPr>
              <w:rPr/>
            </w:pPr>
            <w:r w:rsidDel="00000000" w:rsidR="00000000" w:rsidRPr="00000000">
              <w:rPr>
                <w:rtl w:val="0"/>
              </w:rPr>
              <w:t xml:space="preserve">5. To critically evaluate the effectiveness and limitations of pedagogical theories in supporting Blended Learning approaches.</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Learning Outcomes:</w:t>
            </w:r>
          </w:p>
          <w:p w:rsidR="00000000" w:rsidDel="00000000" w:rsidP="00000000" w:rsidRDefault="00000000" w:rsidRPr="00000000" w14:paraId="00000011">
            <w:pPr>
              <w:rPr/>
            </w:pPr>
            <w:r w:rsidDel="00000000" w:rsidR="00000000" w:rsidRPr="00000000">
              <w:rPr>
                <w:rtl w:val="0"/>
              </w:rPr>
              <w:t xml:space="preserve">By the end of this unit, students will be able to:</w:t>
            </w:r>
          </w:p>
          <w:p w:rsidR="00000000" w:rsidDel="00000000" w:rsidP="00000000" w:rsidRDefault="00000000" w:rsidRPr="00000000" w14:paraId="00000012">
            <w:pPr>
              <w:rPr/>
            </w:pPr>
            <w:r w:rsidDel="00000000" w:rsidR="00000000" w:rsidRPr="00000000">
              <w:rPr>
                <w:rtl w:val="0"/>
              </w:rPr>
              <w:t xml:space="preserve">1. Demonstrate a comprehensive understanding of key pedagogical theories that support Blended Learning.</w:t>
            </w:r>
          </w:p>
          <w:p w:rsidR="00000000" w:rsidDel="00000000" w:rsidP="00000000" w:rsidRDefault="00000000" w:rsidRPr="00000000" w14:paraId="00000013">
            <w:pPr>
              <w:rPr/>
            </w:pPr>
            <w:r w:rsidDel="00000000" w:rsidR="00000000" w:rsidRPr="00000000">
              <w:rPr>
                <w:rtl w:val="0"/>
              </w:rPr>
              <w:t xml:space="preserve">2. Analyze the components and functioning of the Complex Adaptive Blended Learning System (CABLS).</w:t>
            </w:r>
          </w:p>
          <w:p w:rsidR="00000000" w:rsidDel="00000000" w:rsidP="00000000" w:rsidRDefault="00000000" w:rsidRPr="00000000" w14:paraId="00000014">
            <w:pPr>
              <w:rPr/>
            </w:pPr>
            <w:r w:rsidDel="00000000" w:rsidR="00000000" w:rsidRPr="00000000">
              <w:rPr>
                <w:rtl w:val="0"/>
              </w:rPr>
              <w:t xml:space="preserve">3. Apply the principles of the Community of Inquiry Framework to design and facilitate engaging Blended Learning experiences.</w:t>
            </w:r>
          </w:p>
          <w:p w:rsidR="00000000" w:rsidDel="00000000" w:rsidP="00000000" w:rsidRDefault="00000000" w:rsidRPr="00000000" w14:paraId="00000015">
            <w:pPr>
              <w:rPr/>
            </w:pPr>
            <w:r w:rsidDel="00000000" w:rsidR="00000000" w:rsidRPr="00000000">
              <w:rPr>
                <w:rtl w:val="0"/>
              </w:rPr>
              <w:t xml:space="preserve">4. Evaluate educational technology integration using the SAMR model to enhance teaching and learning outcomes.</w:t>
            </w:r>
          </w:p>
          <w:p w:rsidR="00000000" w:rsidDel="00000000" w:rsidP="00000000" w:rsidRDefault="00000000" w:rsidRPr="00000000" w14:paraId="00000016">
            <w:pPr>
              <w:rPr/>
            </w:pPr>
            <w:r w:rsidDel="00000000" w:rsidR="00000000" w:rsidRPr="00000000">
              <w:rPr>
                <w:rtl w:val="0"/>
              </w:rPr>
              <w:t xml:space="preserve">5. Critically assess the alignment between pedagogical theories and Blended Learning practices in various educational contexts.</w:t>
            </w:r>
          </w:p>
          <w:p w:rsidR="00000000" w:rsidDel="00000000" w:rsidP="00000000" w:rsidRDefault="00000000" w:rsidRPr="00000000" w14:paraId="00000017">
            <w:pPr>
              <w:rPr/>
            </w:pPr>
            <w:r w:rsidDel="00000000" w:rsidR="00000000" w:rsidRPr="00000000">
              <w:rPr>
                <w:rtl w:val="0"/>
              </w:rPr>
              <w:t xml:space="preserve">6. Apply pedagogical theories to inform collaborative teaching approaches and foster student engagement and learning.</w:t>
            </w:r>
          </w:p>
        </w:tc>
      </w:tr>
      <w:tr>
        <w:trPr>
          <w:cantSplit w:val="1"/>
          <w:trHeight w:val="2155" w:hRule="atLeast"/>
          <w:tblHeader w:val="0"/>
        </w:trPr>
        <w:tc>
          <w:tcPr>
            <w:tcBorders>
              <w:bottom w:color="ffffff" w:space="0" w:sz="48" w:val="single"/>
            </w:tcBorders>
            <w:shd w:fill="f4b083" w:val="clear"/>
            <w:vAlign w:val="center"/>
          </w:tcPr>
          <w:p w:rsidR="00000000" w:rsidDel="00000000" w:rsidP="00000000" w:rsidRDefault="00000000" w:rsidRPr="00000000" w14:paraId="00000018">
            <w:pPr>
              <w:jc w:val="center"/>
              <w:rPr>
                <w:color w:val="ffffff"/>
              </w:rPr>
            </w:pPr>
            <w:r w:rsidDel="00000000" w:rsidR="00000000" w:rsidRPr="00000000">
              <w:rPr>
                <w:rtl w:val="0"/>
              </w:rPr>
              <w:t xml:space="preserve">CONTENTS IN BRIEF</w:t>
            </w:r>
            <w:r w:rsidDel="00000000" w:rsidR="00000000" w:rsidRPr="00000000">
              <w:rPr>
                <w:rtl w:val="0"/>
              </w:rPr>
            </w:r>
          </w:p>
        </w:tc>
        <w:tc>
          <w:tcPr>
            <w:tcBorders>
              <w:top w:color="000000" w:space="0" w:sz="0" w:val="nil"/>
              <w:bottom w:color="ffffff" w:space="0" w:sz="48" w:val="single"/>
              <w:right w:color="ffffff" w:space="0" w:sz="48" w:val="single"/>
            </w:tcBorders>
            <w:shd w:fill="fbe5d5" w:val="clear"/>
            <w:vAlign w:val="center"/>
          </w:tcPr>
          <w:p w:rsidR="00000000" w:rsidDel="00000000" w:rsidP="00000000" w:rsidRDefault="00000000" w:rsidRPr="00000000" w14:paraId="00000019">
            <w:pPr>
              <w:rPr/>
            </w:pPr>
            <w:r w:rsidDel="00000000" w:rsidR="00000000" w:rsidRPr="00000000">
              <w:rPr>
                <w:rtl w:val="0"/>
              </w:rPr>
              <w:t xml:space="preserve">Pedagogical Theories Supporting Blended and Collaborative Approaches:</w:t>
            </w:r>
          </w:p>
          <w:p w:rsidR="00000000" w:rsidDel="00000000" w:rsidP="00000000" w:rsidRDefault="00000000" w:rsidRPr="00000000" w14:paraId="0000001A">
            <w:pPr>
              <w:numPr>
                <w:ilvl w:val="0"/>
                <w:numId w:val="1"/>
              </w:numPr>
              <w:ind w:left="720" w:hanging="360"/>
              <w:rPr>
                <w:u w:val="none"/>
              </w:rPr>
            </w:pPr>
            <w:r w:rsidDel="00000000" w:rsidR="00000000" w:rsidRPr="00000000">
              <w:rPr>
                <w:rtl w:val="0"/>
              </w:rPr>
              <w:t xml:space="preserve">Pedagogical Theories supporting Blended Learning</w:t>
            </w:r>
          </w:p>
          <w:p w:rsidR="00000000" w:rsidDel="00000000" w:rsidP="00000000" w:rsidRDefault="00000000" w:rsidRPr="00000000" w14:paraId="0000001B">
            <w:pPr>
              <w:numPr>
                <w:ilvl w:val="0"/>
                <w:numId w:val="1"/>
              </w:numPr>
              <w:ind w:left="720" w:hanging="360"/>
              <w:rPr>
                <w:u w:val="none"/>
              </w:rPr>
            </w:pPr>
            <w:r w:rsidDel="00000000" w:rsidR="00000000" w:rsidRPr="00000000">
              <w:rPr>
                <w:rtl w:val="0"/>
              </w:rPr>
              <w:t xml:space="preserve">The Complex Adaptive Blended Learning System</w:t>
            </w:r>
          </w:p>
          <w:p w:rsidR="00000000" w:rsidDel="00000000" w:rsidP="00000000" w:rsidRDefault="00000000" w:rsidRPr="00000000" w14:paraId="0000001C">
            <w:pPr>
              <w:numPr>
                <w:ilvl w:val="0"/>
                <w:numId w:val="1"/>
              </w:numPr>
              <w:ind w:left="720" w:hanging="360"/>
              <w:rPr>
                <w:u w:val="none"/>
              </w:rPr>
            </w:pPr>
            <w:r w:rsidDel="00000000" w:rsidR="00000000" w:rsidRPr="00000000">
              <w:rPr>
                <w:rtl w:val="0"/>
              </w:rPr>
              <w:t xml:space="preserve">The Community of Inquiry Framework in Blended Learning</w:t>
            </w:r>
          </w:p>
          <w:p w:rsidR="00000000" w:rsidDel="00000000" w:rsidP="00000000" w:rsidRDefault="00000000" w:rsidRPr="00000000" w14:paraId="0000001D">
            <w:pPr>
              <w:numPr>
                <w:ilvl w:val="0"/>
                <w:numId w:val="1"/>
              </w:numPr>
              <w:ind w:left="720" w:hanging="360"/>
              <w:rPr>
                <w:u w:val="none"/>
              </w:rPr>
            </w:pPr>
            <w:r w:rsidDel="00000000" w:rsidR="00000000" w:rsidRPr="00000000">
              <w:rPr>
                <w:rtl w:val="0"/>
              </w:rPr>
              <w:t xml:space="preserve">SAMR model</w:t>
            </w:r>
          </w:p>
        </w:tc>
      </w:tr>
      <w:tr>
        <w:trPr>
          <w:cantSplit w:val="1"/>
          <w:trHeight w:val="2155" w:hRule="atLeast"/>
          <w:tblHeader w:val="0"/>
        </w:trPr>
        <w:tc>
          <w:tcPr>
            <w:tcBorders>
              <w:bottom w:color="ffffff" w:space="0" w:sz="48" w:val="single"/>
            </w:tcBorders>
            <w:shd w:fill="f4b083" w:val="clear"/>
            <w:vAlign w:val="center"/>
          </w:tcPr>
          <w:p w:rsidR="00000000" w:rsidDel="00000000" w:rsidP="00000000" w:rsidRDefault="00000000" w:rsidRPr="00000000" w14:paraId="0000001E">
            <w:pPr>
              <w:jc w:val="center"/>
              <w:rPr>
                <w:color w:val="ffffff"/>
              </w:rPr>
            </w:pPr>
            <w:r w:rsidDel="00000000" w:rsidR="00000000" w:rsidRPr="00000000">
              <w:rPr>
                <w:rtl w:val="0"/>
              </w:rPr>
              <w:t xml:space="preserve">GLOSSARY ENTRIES</w:t>
            </w:r>
            <w:r w:rsidDel="00000000" w:rsidR="00000000" w:rsidRPr="00000000">
              <w:rPr>
                <w:rtl w:val="0"/>
              </w:rPr>
            </w:r>
          </w:p>
        </w:tc>
        <w:tc>
          <w:tcPr>
            <w:tcBorders>
              <w:top w:color="000000" w:space="0" w:sz="0" w:val="nil"/>
              <w:bottom w:color="ffffff" w:space="0" w:sz="48" w:val="single"/>
              <w:right w:color="ffffff" w:space="0" w:sz="48" w:val="single"/>
            </w:tcBorders>
            <w:shd w:fill="fbe5d5" w:val="clear"/>
            <w:vAlign w:val="center"/>
          </w:tcPr>
          <w:p w:rsidR="00000000" w:rsidDel="00000000" w:rsidP="00000000" w:rsidRDefault="00000000" w:rsidRPr="00000000" w14:paraId="0000001F">
            <w:pPr>
              <w:rPr/>
            </w:pPr>
            <w:r w:rsidDel="00000000" w:rsidR="00000000" w:rsidRPr="00000000">
              <w:rPr>
                <w:rtl w:val="0"/>
              </w:rPr>
              <w:t xml:space="preserve">ICT: Information and Communication Technologies.</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K-12 education: K–12,  from kindergarten to 12th grade, is an English language expression that indicates the range of years of publicly supported primary and secondary education found in the United States and Canada, which is similar to publicly supported school grades before tertiary education in several other countries, such as Afghanistan, Australia, Canada, China, Ecuador, Egypt, India, Iran, the Philippines, South Korea, and Turkey.</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SAMR model: a pedagogical model of technology integration.</w:t>
            </w:r>
          </w:p>
        </w:tc>
      </w:tr>
      <w:tr>
        <w:trPr>
          <w:cantSplit w:val="1"/>
          <w:trHeight w:val="2155" w:hRule="atLeast"/>
          <w:tblHeader w:val="0"/>
        </w:trPr>
        <w:tc>
          <w:tcPr>
            <w:tcBorders>
              <w:bottom w:color="ffffff" w:space="0" w:sz="48" w:val="single"/>
            </w:tcBorders>
            <w:shd w:fill="f4b083" w:val="clear"/>
            <w:vAlign w:val="center"/>
          </w:tcPr>
          <w:p w:rsidR="00000000" w:rsidDel="00000000" w:rsidP="00000000" w:rsidRDefault="00000000" w:rsidRPr="00000000" w14:paraId="00000024">
            <w:pPr>
              <w:jc w:val="center"/>
              <w:rPr>
                <w:color w:val="ffffff"/>
              </w:rPr>
            </w:pPr>
            <w:r w:rsidDel="00000000" w:rsidR="00000000" w:rsidRPr="00000000">
              <w:rPr>
                <w:rtl w:val="0"/>
              </w:rPr>
              <w:t xml:space="preserve">BIBLIOGRAPHY AND FURTHER REFERENCES</w:t>
            </w:r>
            <w:r w:rsidDel="00000000" w:rsidR="00000000" w:rsidRPr="00000000">
              <w:rPr>
                <w:rtl w:val="0"/>
              </w:rPr>
            </w:r>
          </w:p>
        </w:tc>
        <w:tc>
          <w:tcPr>
            <w:tcBorders>
              <w:top w:color="000000" w:space="0" w:sz="0" w:val="nil"/>
              <w:bottom w:color="ffffff" w:space="0" w:sz="48" w:val="single"/>
              <w:right w:color="ffffff" w:space="0" w:sz="48" w:val="single"/>
            </w:tcBorders>
            <w:shd w:fill="fbe5d5" w:val="clear"/>
            <w:vAlign w:val="center"/>
          </w:tcPr>
          <w:p w:rsidR="00000000" w:rsidDel="00000000" w:rsidP="00000000" w:rsidRDefault="00000000" w:rsidRPr="00000000" w14:paraId="00000025">
            <w:pPr>
              <w:rPr/>
            </w:pPr>
            <w:r w:rsidDel="00000000" w:rsidR="00000000" w:rsidRPr="00000000">
              <w:rPr>
                <w:rtl w:val="0"/>
              </w:rPr>
              <w:t xml:space="preserve">COL Open Books. (n.d.). Chapter 2: Theories Supporting Blended Learning. A Guide to Blended Learning. Retrieved from </w:t>
            </w:r>
            <w:hyperlink r:id="rId7">
              <w:r w:rsidDel="00000000" w:rsidR="00000000" w:rsidRPr="00000000">
                <w:rPr>
                  <w:color w:val="1155cc"/>
                  <w:u w:val="single"/>
                  <w:rtl w:val="0"/>
                </w:rPr>
                <w:t xml:space="preserve">https://openbooks.col.org/blendedlearning/chapter/chapter-2-theories-supporting-blended-learning/</w:t>
              </w:r>
            </w:hyperlink>
            <w:r w:rsidDel="00000000" w:rsidR="00000000" w:rsidRPr="00000000">
              <w:rPr>
                <w:rtl w:val="0"/>
              </w:rPr>
              <w:t xml:space="preserve"> </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O’Connell, A. (2016). Seven blended learning models used today in higher ed. Retrieved from </w:t>
            </w:r>
            <w:hyperlink r:id="rId8">
              <w:r w:rsidDel="00000000" w:rsidR="00000000" w:rsidRPr="00000000">
                <w:rPr>
                  <w:color w:val="1155cc"/>
                  <w:u w:val="single"/>
                  <w:rtl w:val="0"/>
                </w:rPr>
                <w:t xml:space="preserve">http://acrobatiq.com/seven-blended-learning-models-used-today-in-higher-ed/</w:t>
              </w:r>
            </w:hyperlink>
            <w:r w:rsidDel="00000000" w:rsidR="00000000" w:rsidRPr="00000000">
              <w:rPr>
                <w:rtl w:val="0"/>
              </w:rPr>
              <w:t xml:space="preserve"> </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Salam Khan, A. (2022). Blended Learning Is The New Normal For Current Education Scenarios. Webology (ISSN: 1735-188X) Volume 19, Number 3. Retrieved from </w:t>
            </w:r>
            <w:hyperlink r:id="rId9">
              <w:r w:rsidDel="00000000" w:rsidR="00000000" w:rsidRPr="00000000">
                <w:rPr>
                  <w:color w:val="1155cc"/>
                  <w:u w:val="single"/>
                  <w:rtl w:val="0"/>
                </w:rPr>
                <w:t xml:space="preserve">https://www.webology.org/data-cms/articles/20220713122044pmwebology%2019%20(3)%20-%20205%20pdf.pdf</w:t>
              </w:r>
            </w:hyperlink>
            <w:r w:rsidDel="00000000" w:rsidR="00000000" w:rsidRPr="00000000">
              <w:rPr>
                <w:rtl w:val="0"/>
              </w:rPr>
              <w:t xml:space="preserve"> </w:t>
            </w:r>
          </w:p>
          <w:p w:rsidR="00000000" w:rsidDel="00000000" w:rsidP="00000000" w:rsidRDefault="00000000" w:rsidRPr="00000000" w14:paraId="0000002A">
            <w:pPr>
              <w:rPr/>
            </w:pPr>
            <w:r w:rsidDel="00000000" w:rsidR="00000000" w:rsidRPr="00000000">
              <w:rPr>
                <w:rtl w:val="0"/>
              </w:rPr>
              <w:t xml:space="preserve"> </w:t>
            </w:r>
          </w:p>
          <w:p w:rsidR="00000000" w:rsidDel="00000000" w:rsidP="00000000" w:rsidRDefault="00000000" w:rsidRPr="00000000" w14:paraId="0000002B">
            <w:pPr>
              <w:rPr/>
            </w:pPr>
            <w:r w:rsidDel="00000000" w:rsidR="00000000" w:rsidRPr="00000000">
              <w:rPr>
                <w:rtl w:val="0"/>
              </w:rPr>
              <w:t xml:space="preserve">The  Community of Inquiry resource site, including an overview of the CoI framework, survey and key publications. Retrieved from </w:t>
            </w:r>
            <w:hyperlink r:id="rId10">
              <w:r w:rsidDel="00000000" w:rsidR="00000000" w:rsidRPr="00000000">
                <w:rPr>
                  <w:color w:val="1155cc"/>
                  <w:u w:val="single"/>
                  <w:rtl w:val="0"/>
                </w:rPr>
                <w:t xml:space="preserve">http://coi.athabascau.ca/</w:t>
              </w:r>
            </w:hyperlink>
            <w:r w:rsidDel="00000000" w:rsidR="00000000" w:rsidRPr="00000000">
              <w:rPr>
                <w:rtl w:val="0"/>
              </w:rPr>
              <w:t xml:space="preserve">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Wang, Y., Han, X., &amp; Yang, J. (2015). Revisiting the blended learning literature: Using a complex adaptive systems framework. Journal of Educational Technology &amp; Society, 18(2), 380–393. Retrieved from </w:t>
            </w:r>
            <w:hyperlink r:id="rId11">
              <w:r w:rsidDel="00000000" w:rsidR="00000000" w:rsidRPr="00000000">
                <w:rPr>
                  <w:color w:val="1155cc"/>
                  <w:u w:val="single"/>
                  <w:rtl w:val="0"/>
                </w:rPr>
                <w:t xml:space="preserve">https://www.j-ets.net/ETS/journals/18_2/28.pdf</w:t>
              </w:r>
            </w:hyperlink>
            <w:r w:rsidDel="00000000" w:rsidR="00000000" w:rsidRPr="00000000">
              <w:rPr>
                <w:rtl w:val="0"/>
              </w:rPr>
              <w:t xml:space="preserve"> </w:t>
            </w:r>
          </w:p>
        </w:tc>
      </w:tr>
      <w:tr>
        <w:trPr>
          <w:cantSplit w:val="1"/>
          <w:trHeight w:val="2155" w:hRule="atLeast"/>
          <w:tblHeader w:val="0"/>
        </w:trPr>
        <w:tc>
          <w:tcPr>
            <w:tcBorders>
              <w:bottom w:color="ffffff" w:space="0" w:sz="48" w:val="single"/>
            </w:tcBorders>
            <w:shd w:fill="f4b083" w:val="clear"/>
            <w:vAlign w:val="center"/>
          </w:tcPr>
          <w:p w:rsidR="00000000" w:rsidDel="00000000" w:rsidP="00000000" w:rsidRDefault="00000000" w:rsidRPr="00000000" w14:paraId="0000002E">
            <w:pPr>
              <w:jc w:val="center"/>
              <w:rPr>
                <w:color w:val="ffffff"/>
              </w:rPr>
            </w:pPr>
            <w:r w:rsidDel="00000000" w:rsidR="00000000" w:rsidRPr="00000000">
              <w:rPr>
                <w:rtl w:val="0"/>
              </w:rPr>
              <w:t xml:space="preserve">RELATED MATERIAL AND REFERENCE LINK (I.E. YOUTUBE VIDEOS)</w:t>
            </w:r>
            <w:r w:rsidDel="00000000" w:rsidR="00000000" w:rsidRPr="00000000">
              <w:rPr>
                <w:rtl w:val="0"/>
              </w:rPr>
            </w:r>
          </w:p>
        </w:tc>
        <w:tc>
          <w:tcPr>
            <w:tcBorders>
              <w:top w:color="000000" w:space="0" w:sz="0" w:val="nil"/>
              <w:bottom w:color="ffffff" w:space="0" w:sz="48" w:val="single"/>
              <w:right w:color="ffffff" w:space="0" w:sz="48" w:val="single"/>
            </w:tcBorders>
            <w:shd w:fill="fbe5d5" w:val="clear"/>
            <w:vAlign w:val="center"/>
          </w:tcPr>
          <w:p w:rsidR="00000000" w:rsidDel="00000000" w:rsidP="00000000" w:rsidRDefault="00000000" w:rsidRPr="00000000" w14:paraId="0000002F">
            <w:pPr>
              <w:rPr/>
            </w:pPr>
            <w:hyperlink r:id="rId12">
              <w:r w:rsidDel="00000000" w:rsidR="00000000" w:rsidRPr="00000000">
                <w:rPr>
                  <w:color w:val="0000ee"/>
                  <w:u w:val="single"/>
                  <w:shd w:fill="auto" w:val="clear"/>
                  <w:rtl w:val="0"/>
                </w:rPr>
                <w:t xml:space="preserve">A Guide to Blended Learning Chapter 2: Theories Supporting Blended Learning</w:t>
              </w:r>
            </w:hyperlink>
            <w:r w:rsidDel="00000000" w:rsidR="00000000" w:rsidRPr="00000000">
              <w:rPr>
                <w:rtl w:val="0"/>
              </w:rPr>
            </w:r>
          </w:p>
          <w:p w:rsidR="00000000" w:rsidDel="00000000" w:rsidP="00000000" w:rsidRDefault="00000000" w:rsidRPr="00000000" w14:paraId="00000030">
            <w:pPr>
              <w:rPr/>
            </w:pPr>
            <w:hyperlink r:id="rId13">
              <w:r w:rsidDel="00000000" w:rsidR="00000000" w:rsidRPr="00000000">
                <w:rPr>
                  <w:color w:val="0000ee"/>
                  <w:u w:val="single"/>
                  <w:shd w:fill="auto" w:val="clear"/>
                  <w:rtl w:val="0"/>
                </w:rPr>
                <w:t xml:space="preserve">Complex Adaptive Systems (CAS):  Explained</w:t>
              </w:r>
            </w:hyperlink>
            <w:r w:rsidDel="00000000" w:rsidR="00000000" w:rsidRPr="00000000">
              <w:rPr>
                <w:rtl w:val="0"/>
              </w:rPr>
            </w:r>
          </w:p>
          <w:p w:rsidR="00000000" w:rsidDel="00000000" w:rsidP="00000000" w:rsidRDefault="00000000" w:rsidRPr="00000000" w14:paraId="00000031">
            <w:pPr>
              <w:rPr/>
            </w:pPr>
            <w:hyperlink r:id="rId14">
              <w:r w:rsidDel="00000000" w:rsidR="00000000" w:rsidRPr="00000000">
                <w:rPr>
                  <w:color w:val="0000ee"/>
                  <w:u w:val="single"/>
                  <w:shd w:fill="auto" w:val="clear"/>
                  <w:rtl w:val="0"/>
                </w:rPr>
                <w:t xml:space="preserve">What Is the SAMR Model?</w:t>
              </w:r>
            </w:hyperlink>
            <w:r w:rsidDel="00000000" w:rsidR="00000000" w:rsidRPr="00000000">
              <w:rPr>
                <w:rtl w:val="0"/>
              </w:rPr>
            </w:r>
          </w:p>
        </w:tc>
      </w:tr>
      <w:tr>
        <w:trPr>
          <w:cantSplit w:val="1"/>
          <w:trHeight w:val="2155" w:hRule="atLeast"/>
          <w:tblHeader w:val="0"/>
        </w:trPr>
        <w:tc>
          <w:tcPr>
            <w:tcBorders>
              <w:top w:color="ffffff" w:space="0" w:sz="48" w:val="single"/>
            </w:tcBorders>
            <w:shd w:fill="f4b083" w:val="clear"/>
            <w:vAlign w:val="center"/>
          </w:tcPr>
          <w:p w:rsidR="00000000" w:rsidDel="00000000" w:rsidP="00000000" w:rsidRDefault="00000000" w:rsidRPr="00000000" w14:paraId="00000032">
            <w:pPr>
              <w:jc w:val="center"/>
              <w:rPr>
                <w:color w:val="ffffff"/>
              </w:rPr>
            </w:pPr>
            <w:r w:rsidDel="00000000" w:rsidR="00000000" w:rsidRPr="00000000">
              <w:rPr>
                <w:rtl w:val="0"/>
              </w:rPr>
              <w:t xml:space="preserve">RELATED PPT</w:t>
            </w:r>
            <w:r w:rsidDel="00000000" w:rsidR="00000000" w:rsidRPr="00000000">
              <w:rPr>
                <w:rtl w:val="0"/>
              </w:rPr>
            </w:r>
          </w:p>
        </w:tc>
        <w:tc>
          <w:tcPr>
            <w:tcBorders>
              <w:top w:color="ffffff" w:space="0" w:sz="48" w:val="single"/>
              <w:bottom w:color="ffffff" w:space="0" w:sz="48" w:val="single"/>
              <w:right w:color="ffffff" w:space="0" w:sz="48" w:val="single"/>
            </w:tcBorders>
            <w:shd w:fill="fbe5d5" w:val="clear"/>
            <w:vAlign w:val="center"/>
          </w:tcPr>
          <w:p w:rsidR="00000000" w:rsidDel="00000000" w:rsidP="00000000" w:rsidRDefault="00000000" w:rsidRPr="00000000" w14:paraId="00000033">
            <w:pPr>
              <w:rPr/>
            </w:pPr>
            <w:hyperlink r:id="rId15">
              <w:r w:rsidDel="00000000" w:rsidR="00000000" w:rsidRPr="00000000">
                <w:rPr>
                  <w:color w:val="0000ee"/>
                  <w:u w:val="single"/>
                  <w:shd w:fill="auto" w:val="clear"/>
                  <w:rtl w:val="0"/>
                </w:rPr>
                <w:t xml:space="preserve">1. CollaboratiVET-Module 1_Unit 2.pptx</w:t>
              </w:r>
            </w:hyperlink>
            <w:r w:rsidDel="00000000" w:rsidR="00000000" w:rsidRPr="00000000">
              <w:rPr>
                <w:rtl w:val="0"/>
              </w:rPr>
            </w:r>
          </w:p>
        </w:tc>
      </w:tr>
    </w:tbl>
    <w:p w:rsidR="00000000" w:rsidDel="00000000" w:rsidP="00000000" w:rsidRDefault="00000000" w:rsidRPr="00000000" w14:paraId="00000034">
      <w:pPr>
        <w:rPr/>
      </w:pPr>
      <w:r w:rsidDel="00000000" w:rsidR="00000000" w:rsidRPr="00000000">
        <w:rPr>
          <w:rtl w:val="0"/>
        </w:rPr>
      </w:r>
    </w:p>
    <w:sectPr>
      <w:headerReference r:id="rId16" w:type="default"/>
      <w:footerReference r:id="rId17" w:type="default"/>
      <w:pgSz w:h="16838" w:w="11906" w:orient="portrait"/>
      <w:pgMar w:bottom="1134" w:top="2552"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22860</wp:posOffset>
          </wp:positionH>
          <wp:positionV relativeFrom="paragraph">
            <wp:posOffset>889635</wp:posOffset>
          </wp:positionV>
          <wp:extent cx="6120130" cy="15240"/>
          <wp:effectExtent b="0" l="0" r="0" t="0"/>
          <wp:wrapNone/>
          <wp:docPr id="144809449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120130" cy="1524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2174240</wp:posOffset>
          </wp:positionH>
          <wp:positionV relativeFrom="paragraph">
            <wp:posOffset>-84454</wp:posOffset>
          </wp:positionV>
          <wp:extent cx="1771650" cy="853440"/>
          <wp:effectExtent b="0" l="0" r="0" t="0"/>
          <wp:wrapNone/>
          <wp:docPr id="1448094496" name="image2.png"/>
          <a:graphic>
            <a:graphicData uri="http://schemas.openxmlformats.org/drawingml/2006/picture">
              <pic:pic>
                <pic:nvPicPr>
                  <pic:cNvPr id="0" name="image2.png"/>
                  <pic:cNvPicPr preferRelativeResize="0"/>
                </pic:nvPicPr>
                <pic:blipFill>
                  <a:blip r:embed="rId2"/>
                  <a:srcRect b="29461" l="0" r="0" t="22366"/>
                  <a:stretch>
                    <a:fillRect/>
                  </a:stretch>
                </pic:blipFill>
                <pic:spPr>
                  <a:xfrm>
                    <a:off x="0" y="0"/>
                    <a:ext cx="1771650" cy="85344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643EC7"/>
    <w:pPr>
      <w:spacing w:after="200" w:line="276" w:lineRule="auto"/>
    </w:pPr>
    <w:rPr>
      <w:lang w:val="es-E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643EC7"/>
    <w:pPr>
      <w:tabs>
        <w:tab w:val="center" w:pos="4819"/>
        <w:tab w:val="right" w:pos="9638"/>
      </w:tabs>
      <w:spacing w:after="0" w:line="240" w:lineRule="auto"/>
    </w:pPr>
  </w:style>
  <w:style w:type="character" w:styleId="HeaderChar" w:customStyle="1">
    <w:name w:val="Header Char"/>
    <w:basedOn w:val="DefaultParagraphFont"/>
    <w:link w:val="Header"/>
    <w:uiPriority w:val="99"/>
    <w:rsid w:val="00643EC7"/>
    <w:rPr>
      <w:lang w:val="es-ES"/>
    </w:rPr>
  </w:style>
  <w:style w:type="paragraph" w:styleId="Footer">
    <w:name w:val="footer"/>
    <w:basedOn w:val="Normal"/>
    <w:link w:val="FooterChar"/>
    <w:uiPriority w:val="99"/>
    <w:unhideWhenUsed w:val="1"/>
    <w:rsid w:val="00643EC7"/>
    <w:pPr>
      <w:tabs>
        <w:tab w:val="center" w:pos="4819"/>
        <w:tab w:val="right" w:pos="9638"/>
      </w:tabs>
      <w:spacing w:after="0" w:line="240" w:lineRule="auto"/>
    </w:pPr>
  </w:style>
  <w:style w:type="character" w:styleId="FooterChar" w:customStyle="1">
    <w:name w:val="Footer Char"/>
    <w:basedOn w:val="DefaultParagraphFont"/>
    <w:link w:val="Footer"/>
    <w:uiPriority w:val="99"/>
    <w:rsid w:val="00643EC7"/>
    <w:rPr>
      <w:lang w:val="es-ES"/>
    </w:rPr>
  </w:style>
  <w:style w:type="table" w:styleId="TableGrid">
    <w:name w:val="Table Grid"/>
    <w:basedOn w:val="TableNormal"/>
    <w:uiPriority w:val="39"/>
    <w:rsid w:val="00643EC7"/>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uiPriority w:val="99"/>
    <w:semiHidden w:val="1"/>
    <w:unhideWhenUsed w:val="1"/>
    <w:rsid w:val="00EF3289"/>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EF3289"/>
    <w:rPr>
      <w:rFonts w:ascii="Tahoma" w:cs="Tahoma" w:hAnsi="Tahoma"/>
      <w:sz w:val="16"/>
      <w:szCs w:val="16"/>
      <w:lang w:val="es-ES"/>
    </w:rPr>
  </w:style>
  <w:style w:type="paragraph" w:styleId="ListParagraph">
    <w:name w:val="List Paragraph"/>
    <w:basedOn w:val="Normal"/>
    <w:uiPriority w:val="34"/>
    <w:qFormat w:val="1"/>
    <w:rsid w:val="009F2BFE"/>
    <w:pPr>
      <w:ind w:left="720"/>
      <w:contextualSpacing w:val="1"/>
    </w:pPr>
  </w:style>
  <w:style w:type="character" w:styleId="Hyperlink">
    <w:name w:val="Hyperlink"/>
    <w:basedOn w:val="DefaultParagraphFont"/>
    <w:uiPriority w:val="99"/>
    <w:unhideWhenUsed w:val="1"/>
    <w:rsid w:val="005212EE"/>
    <w:rPr>
      <w:color w:val="0563c1" w:themeColor="hyperlink"/>
      <w:u w:val="single"/>
    </w:rPr>
  </w:style>
  <w:style w:type="character" w:styleId="UnresolvedMention">
    <w:name w:val="Unresolved Mention"/>
    <w:basedOn w:val="DefaultParagraphFont"/>
    <w:uiPriority w:val="99"/>
    <w:semiHidden w:val="1"/>
    <w:unhideWhenUsed w:val="1"/>
    <w:rsid w:val="005212EE"/>
    <w:rPr>
      <w:color w:val="605e5c"/>
      <w:shd w:color="auto" w:fill="e1dfdd" w:val="clear"/>
    </w:rPr>
  </w:style>
  <w:style w:type="table" w:styleId="GridTable1Light-Accent1">
    <w:name w:val="Grid Table 1 Light Accent 1"/>
    <w:basedOn w:val="TableNormal"/>
    <w:uiPriority w:val="46"/>
    <w:rsid w:val="00B77534"/>
    <w:pPr>
      <w:spacing w:after="0" w:line="240" w:lineRule="auto"/>
    </w:pPr>
    <w:tblPr>
      <w:tblStyleRowBandSize w:val="1"/>
      <w:tblStyleColBandSize w:val="1"/>
      <w:tblBorders>
        <w:top w:color="b4c6e7" w:space="0" w:sz="4" w:themeColor="accent1" w:themeTint="000066" w:val="single"/>
        <w:left w:color="b4c6e7" w:space="0" w:sz="4" w:themeColor="accent1" w:themeTint="000066" w:val="single"/>
        <w:bottom w:color="b4c6e7" w:space="0" w:sz="4" w:themeColor="accent1" w:themeTint="000066" w:val="single"/>
        <w:right w:color="b4c6e7" w:space="0" w:sz="4" w:themeColor="accent1" w:themeTint="000066" w:val="single"/>
        <w:insideH w:color="b4c6e7" w:space="0" w:sz="4" w:themeColor="accent1" w:themeTint="000066" w:val="single"/>
        <w:insideV w:color="b4c6e7" w:space="0" w:sz="4" w:themeColor="accent1" w:themeTint="000066" w:val="single"/>
      </w:tblBorders>
    </w:tblPr>
    <w:tblStylePr w:type="firstRow">
      <w:rPr>
        <w:b w:val="1"/>
        <w:bCs w:val="1"/>
      </w:rPr>
      <w:tblPr/>
      <w:tcPr>
        <w:tcBorders>
          <w:bottom w:color="8eaadb" w:space="0" w:sz="12" w:themeColor="accent1" w:themeTint="000099" w:val="single"/>
        </w:tcBorders>
      </w:tcPr>
    </w:tblStylePr>
    <w:tblStylePr w:type="lastRow">
      <w:rPr>
        <w:b w:val="1"/>
        <w:bCs w:val="1"/>
      </w:rPr>
      <w:tblPr/>
      <w:tcPr>
        <w:tcBorders>
          <w:top w:color="8eaadb" w:space="0" w:sz="2" w:themeColor="accent1" w:themeTint="000099" w:val="double"/>
        </w:tcBorders>
      </w:tcPr>
    </w:tblStylePr>
    <w:tblStylePr w:type="firstCol">
      <w:rPr>
        <w:b w:val="1"/>
        <w:bCs w:val="1"/>
      </w:rPr>
    </w:tblStylePr>
    <w:tblStylePr w:type="lastCol">
      <w:rPr>
        <w:b w:val="1"/>
        <w:bCs w:val="1"/>
      </w:rPr>
    </w:tblStylePr>
  </w:style>
  <w:style w:type="table" w:styleId="GridTable1Light">
    <w:name w:val="Grid Table 1 Light"/>
    <w:basedOn w:val="TableNormal"/>
    <w:uiPriority w:val="46"/>
    <w:rsid w:val="00F93AA0"/>
    <w:pPr>
      <w:spacing w:after="0" w:line="240" w:lineRule="auto"/>
    </w:pPr>
    <w:tblPr>
      <w:tblStyleRowBandSize w:val="1"/>
      <w:tblStyleColBandSize w:val="1"/>
      <w:tblBorders>
        <w:top w:color="999999" w:space="0" w:sz="4" w:themeColor="text1" w:themeTint="000066" w:val="single"/>
        <w:left w:color="999999" w:space="0" w:sz="4" w:themeColor="text1" w:themeTint="000066" w:val="single"/>
        <w:bottom w:color="999999" w:space="0" w:sz="4" w:themeColor="text1" w:themeTint="000066" w:val="single"/>
        <w:right w:color="999999" w:space="0" w:sz="4" w:themeColor="text1" w:themeTint="000066" w:val="single"/>
        <w:insideH w:color="999999" w:space="0" w:sz="4" w:themeColor="text1" w:themeTint="000066" w:val="single"/>
        <w:insideV w:color="999999" w:space="0" w:sz="4" w:themeColor="text1" w:themeTint="000066" w:val="single"/>
      </w:tblBorders>
    </w:tblPr>
    <w:tblStylePr w:type="firstRow">
      <w:rPr>
        <w:b w:val="1"/>
        <w:bCs w:val="1"/>
      </w:rPr>
      <w:tblPr/>
      <w:tcPr>
        <w:tcBorders>
          <w:bottom w:color="666666" w:space="0" w:sz="12" w:themeColor="text1" w:themeTint="000099" w:val="single"/>
        </w:tcBorders>
      </w:tcPr>
    </w:tblStylePr>
    <w:tblStylePr w:type="lastRow">
      <w:rPr>
        <w:b w:val="1"/>
        <w:bCs w:val="1"/>
      </w:rPr>
      <w:tblPr/>
      <w:tcPr>
        <w:tcBorders>
          <w:top w:color="666666" w:space="0" w:sz="2" w:themeColor="text1" w:themeTint="000099" w:val="double"/>
        </w:tcBorders>
      </w:tcPr>
    </w:tblStylePr>
    <w:tblStylePr w:type="firstCol">
      <w:rPr>
        <w:b w:val="1"/>
        <w:bCs w:val="1"/>
      </w:rPr>
    </w:tblStylePr>
    <w:tblStylePr w:type="lastCol">
      <w:rPr>
        <w:b w:val="1"/>
        <w:bCs w:val="1"/>
      </w:rPr>
    </w:tblStylePr>
  </w:style>
  <w:style w:type="paragraph" w:styleId="NoSpacing">
    <w:name w:val="No Spacing"/>
    <w:uiPriority w:val="1"/>
    <w:qFormat w:val="1"/>
    <w:rsid w:val="003B3A3E"/>
    <w:pPr>
      <w:spacing w:after="0" w:line="240" w:lineRule="auto"/>
    </w:pPr>
    <w:rPr>
      <w:lang w:val="es-E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13.0" w:type="dxa"/>
        <w:left w:w="108.0" w:type="dxa"/>
        <w:bottom w:w="113.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j-ets.net/ETS/journals/18_2/28.pdf" TargetMode="External"/><Relationship Id="rId10" Type="http://schemas.openxmlformats.org/officeDocument/2006/relationships/hyperlink" Target="http://coi.athabascau.ca/" TargetMode="External"/><Relationship Id="rId13" Type="http://schemas.openxmlformats.org/officeDocument/2006/relationships/hyperlink" Target="https://www.youtube.com/watch?v=kEld3h_JTx0&amp;ab_channel=B2Bwhiteboard" TargetMode="External"/><Relationship Id="rId12" Type="http://schemas.openxmlformats.org/officeDocument/2006/relationships/hyperlink" Target="https://www.youtube.com/watch?v=nha62Gs6t-E&amp;ab_channel=CommonwealthofLearn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webology.org/data-cms/articles/20220713122044pmwebology%2019%20(3)%20-%20205%20pdf.pdf" TargetMode="External"/><Relationship Id="rId15" Type="http://schemas.openxmlformats.org/officeDocument/2006/relationships/hyperlink" Target="https://docs.google.com/presentation/d/1Fa68RQ3kyFBk-w1j0_x_gaAoqJdKLAy0/edit#slide=id.g2bf4627dc08_0_0" TargetMode="External"/><Relationship Id="rId14" Type="http://schemas.openxmlformats.org/officeDocument/2006/relationships/hyperlink" Target="https://www.youtube.com/watch?v=9b5yvgKQdqE" TargetMode="External"/><Relationship Id="rId17" Type="http://schemas.openxmlformats.org/officeDocument/2006/relationships/footer" Target="footer1.xm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openbooks.col.org/blendedlearning/chapter/chapter-2-theories-supporting-blended-learning/" TargetMode="External"/><Relationship Id="rId8" Type="http://schemas.openxmlformats.org/officeDocument/2006/relationships/hyperlink" Target="http://acrobatiq.com/seven-blended-learning-models-used-today-in-higher-e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6BrpR3umcEAPTkQmdt9xFxF3w==">CgMxLjA4AHIhMUdzSno1NDJrTzhEMGxDVGNDZE90akZlSnNCNTlBZWNm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2023-12-20T16:08:00Z</dcterms:created>
  <dc:creator>riccardo di marco</dc:creator>
</cp:coreProperties>
</file>